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7E4" w:rsidRDefault="00F127E4" w:rsidP="00F127E4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地（市）分局办理的服务贸易外汇存放境外核准</w:t>
      </w:r>
    </w:p>
    <w:p w:rsidR="00F127E4" w:rsidRDefault="00F127E4" w:rsidP="00F127E4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【000171103005】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一、基本要素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行政许可事项名称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及编码</w:t>
      </w:r>
    </w:p>
    <w:p w:rsidR="00F127E4" w:rsidRDefault="00F127E4" w:rsidP="00F127E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经常项目外汇存放境外核准【00017110300Y】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行政许可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事项子项名称及编码</w:t>
      </w:r>
    </w:p>
    <w:p w:rsidR="00F127E4" w:rsidRDefault="00F127E4" w:rsidP="00F127E4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地（市）分局办理的服务贸易外汇存放境外核准【000171103005】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行政许可事项业务办理项名称及编码</w:t>
      </w:r>
    </w:p>
    <w:p w:rsidR="00F127E4" w:rsidRDefault="00F127E4" w:rsidP="00F127E4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地（市）分局办理的服务贸易外汇存放境外外汇账户新办</w:t>
      </w:r>
      <w:r w:rsidR="00C6499D">
        <w:rPr>
          <w:rFonts w:ascii="方正仿宋_GBK" w:eastAsia="方正仿宋_GBK" w:hAnsi="方正仿宋_GBK" w:cs="方正仿宋_GBK" w:hint="eastAsia"/>
          <w:sz w:val="28"/>
          <w:szCs w:val="28"/>
        </w:rPr>
        <w:t>(00017110300501)</w:t>
      </w:r>
    </w:p>
    <w:p w:rsidR="00F127E4" w:rsidRDefault="00F127E4" w:rsidP="00F127E4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地（市）分局办理的服务贸易外汇存放境外外汇账户变更</w:t>
      </w:r>
      <w:r w:rsidR="00C6499D">
        <w:rPr>
          <w:rFonts w:ascii="方正仿宋_GBK" w:eastAsia="方正仿宋_GBK" w:hAnsi="方正仿宋_GBK" w:cs="方正仿宋_GBK" w:hint="eastAsia"/>
          <w:sz w:val="28"/>
          <w:szCs w:val="28"/>
        </w:rPr>
        <w:t>(00017110300502)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设定依据</w:t>
      </w:r>
    </w:p>
    <w:p w:rsidR="00F127E4" w:rsidRDefault="00F127E4" w:rsidP="00F127E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（1）《中华人民共和国外汇管理条例》第九条</w:t>
      </w:r>
    </w:p>
    <w:p w:rsidR="00F127E4" w:rsidRDefault="00F127E4" w:rsidP="00F127E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（2）《国务院对确需保留的行政审批项目设定行政许可的决定》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实施依据</w:t>
      </w:r>
    </w:p>
    <w:p w:rsidR="00F127E4" w:rsidRDefault="00F127E4" w:rsidP="00F127E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（1）《经常项目外汇业务指引（2020年版）》（汇发〔2020〕14号文印发）第一百六十一条、第一百六十二条、第一百六十三条</w:t>
      </w:r>
    </w:p>
    <w:p w:rsidR="00F127E4" w:rsidRDefault="00F127E4" w:rsidP="00F127E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（2）《国家外汇管理局行政许可实施办法》（国家外汇管理局公告2021年第1号）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监管依据</w:t>
      </w:r>
    </w:p>
    <w:p w:rsidR="00F127E4" w:rsidRDefault="00F127E4" w:rsidP="00F127E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《中华人民共和国外汇管理条例》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实施机关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国家外汇局地（市）分局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审批层级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国家级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行使</w:t>
      </w:r>
      <w:r>
        <w:rPr>
          <w:rFonts w:ascii="Times New Roman" w:eastAsia="仿宋GB2312" w:hAnsi="Times New Roman"/>
          <w:b/>
          <w:bCs/>
          <w:sz w:val="28"/>
          <w:szCs w:val="28"/>
        </w:rPr>
        <w:t>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市级/隶属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是否由审批机关受理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/>
          <w:b/>
          <w:bCs/>
          <w:sz w:val="28"/>
          <w:szCs w:val="28"/>
        </w:rPr>
        <w:t>受理层级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设区的市级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12.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是否存在初审环节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  <w:highlight w:val="yellow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13.</w:t>
      </w:r>
      <w:r>
        <w:rPr>
          <w:rFonts w:ascii="Times New Roman" w:eastAsia="仿宋GB2312" w:hAnsi="Times New Roman"/>
          <w:b/>
          <w:bCs/>
          <w:sz w:val="28"/>
          <w:szCs w:val="28"/>
        </w:rPr>
        <w:t>初审层级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14.</w:t>
      </w:r>
      <w:r>
        <w:rPr>
          <w:rFonts w:ascii="Times New Roman" w:eastAsia="仿宋GB2312" w:hAnsi="Times New Roman"/>
          <w:b/>
          <w:bCs/>
          <w:sz w:val="28"/>
          <w:szCs w:val="28"/>
        </w:rPr>
        <w:t>对应政务服务事项国家级基本目录名称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服务贸易外汇收入存放境外外汇账户审批</w:t>
      </w:r>
    </w:p>
    <w:p w:rsidR="00F127E4" w:rsidRDefault="00F127E4" w:rsidP="00F127E4">
      <w:pPr>
        <w:spacing w:line="600" w:lineRule="exact"/>
        <w:ind w:firstLineChars="200" w:firstLine="562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要素统一情况：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全部要素全国统一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二、行政许可事项类型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条件型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三、行政许可条件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准予行政许可的条件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地（市）分局办理的服务贸易外汇存放境外外汇账户新办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申请人为境内机构，服务贸易收入来源真实合法，且在境外有符合相关规定的支付需求；近两年无违反外汇管理规定行为。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地（市）分局办理的服务贸易外汇存放境外外汇账户变更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企业提高存放境外规模、境内企业集团调整参与成员公司的。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规定行政许可条件的依据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《经常项目外汇业务指引（2020年版）》（汇发〔2020〕14号文印发）第一百六十二条存放境外应具备下列条件：（一）货物出口收入或服务贸易外汇收入来源真实合法，且在境外有符合相关规定的支付需求；（二）近两年无违反外汇管理规定行为……。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（2）《经常项目外汇业务指引（2020年版）》（汇发〔2020〕14号文印发）第一百六十三条……企业提高存放境外规模、境内企业集团调整参与成员公司的，应持书面申请向所在地外汇局申请变更登记……。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四、</w:t>
      </w:r>
      <w:r>
        <w:rPr>
          <w:rFonts w:ascii="Times New Roman" w:eastAsia="黑体" w:hAnsi="Times New Roman"/>
          <w:sz w:val="28"/>
          <w:szCs w:val="28"/>
        </w:rPr>
        <w:t>行政许可服务对象类型</w:t>
      </w:r>
      <w:r>
        <w:rPr>
          <w:rFonts w:ascii="Times New Roman" w:eastAsia="黑体" w:hAnsi="Times New Roman" w:hint="eastAsia"/>
          <w:sz w:val="28"/>
          <w:szCs w:val="28"/>
        </w:rPr>
        <w:t>与改革举措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服务对象类型：</w:t>
      </w:r>
      <w:r>
        <w:rPr>
          <w:rFonts w:ascii="方正仿宋_GBK" w:eastAsia="方正仿宋_GBK" w:hAnsi="方正仿宋_GBK" w:cs="方正仿宋_GBK"/>
          <w:sz w:val="28"/>
          <w:szCs w:val="28"/>
        </w:rPr>
        <w:t>企业法人,事业单位法人,社会组织法人,非法人企业,行政机关,其他组织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是否为涉企许可事项：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涉企经营许可事项名称：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许可证件名称：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改革方式：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Pr="00C6499D" w:rsidRDefault="00F127E4" w:rsidP="00C6499D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具体改革举措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加强事中事后监管措施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（1）开展“双随机、一公开”监管，依法查处违规行为，适时公开相关案例。（2）依法及时处理投诉举报。（3）开展数据统计与监测，掌握外汇业务情况。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五、申请材料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申请材料名称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地（市）分局办理的服务贸易外汇存放境外外汇账户新办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书面申请原件1份。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地（市）分局办理的服务贸易外汇存放境外外汇账户变更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书面申请原件1份。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规定申请材料的依据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lastRenderedPageBreak/>
        <w:t>《经常项目外汇业务指引（2020年版）》（汇发〔2020〕14号文印发）第一百六十三条境内机构开立境外账户，应凭下列材料到所在地外汇局办理境外开户登记：（一）法定代表人或其授权人签字并加盖企业公章的书面申请，书面申请内容包括但不限于：基本情况、业务开展情况、拟开户银行、使用期限、根据实际需要申请的存放境外资金规模等；……企业提高存放境外规模、境内企业集团调整参与成员公司的，应持书面申请书向所在地外汇局申请变更登记。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六、中介服务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有无法定中介服务事项：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Pr="00C6499D" w:rsidRDefault="00F127E4" w:rsidP="00C6499D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设定中介服务事项的依据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提供中介服务的机构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中介服务事项的收费性质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七、审批程序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办理行政许可的程序环节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申请人申请；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审批机构受理/不予受理；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审批机构审查；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决定作出许可决定书/不予许可决定书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规定行政许可程序的依据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（1）《国家外汇管理局行政许可实施办法》（国家外汇管理局公告2021年第1号）第十条外汇局收到行政许可申请后，应区分下列情况分别作出处理：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（一）申请事项属于本局职责范围，但依法不需要取得行政许可的，应即时告知申请人不受理，出具不予受理行政许可通知书；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三）申请事项属于本局职责范围，但申请材料不齐全或不符合法定形式的，应当场或在收到申请材料之日起5个工作日内作出要求申请人补正材料的决定，出具补正告知书，一次性告知申请人需要补正的全部内容；逾期不告知的，自收到申请材料之日起即为受理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申请人拒不补正，或者自补正告知书送达之日起30日内未能提交全部且符合法定形式的补正材料的，应不予受理，出具不予受理行政许可通知书；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申请材料存在文字笔误等可当场更正的错误的，应允许申请人当场更正，并告知其在修改处签字或盖章确认；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（2）《国家外汇管理局行政许可实施办法》（国家外汇管理局公告2021年第1号）第十四条外汇局对行政许可申请审查后，应区分下列情况分别作出处理：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（一）申请符合法定条件、拟准予行政许可的，应出具准予行政许可的书面决定。准予行政许可的书面决定应载明名称、出具单位、被许可人姓名或名称、行政许可事项、颁发日期、有效期（如有）等；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（二）申请不符合法定条件、拟不予行政许可的，应出具不予行政许可决定书，并说明不予行政许可的理由，告知申请人享有依法申请行政复议的权利。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是否需要现场勘验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是否需要组织听证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是否需要招标、拍卖、挂牌交易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是否需要检验、检测、检疫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是否需要鉴定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是否需要专家评审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是否需要向社会公示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是否实行告知承诺办理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审批机关是否委托服务机构开展技术性服务：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八、受理和审批时限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承诺受理时限：</w:t>
      </w:r>
      <w:r>
        <w:rPr>
          <w:rFonts w:ascii="方正仿宋_GBK" w:eastAsia="方正仿宋_GBK" w:hAnsi="方正仿宋_GBK" w:cs="方正仿宋_GBK"/>
          <w:sz w:val="28"/>
          <w:szCs w:val="28"/>
        </w:rPr>
        <w:t>5个工作日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法定审批时限：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20个工作日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规定法定审批时限依据</w:t>
      </w:r>
    </w:p>
    <w:p w:rsidR="00F127E4" w:rsidRDefault="00F127E4" w:rsidP="00F127E4">
      <w:pPr>
        <w:spacing w:line="600" w:lineRule="exact"/>
        <w:ind w:firstLineChars="200" w:firstLine="560"/>
        <w:rPr>
          <w:rFonts w:ascii="Times New Roman" w:eastAsia="仿宋GB2312" w:hAnsi="Times New Roman"/>
          <w:sz w:val="32"/>
          <w:szCs w:val="32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《国家外汇管理局行政许可实施办法》（国家外汇管理局公告2021年第1号）第十五条外汇局应根据以下要求确保行政许可依法按时完成：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（二）不能当场作出决定的，应自受理之日起20个工作日内作出决定；20个工作日内不能作出决定的，经本级外汇局局长或者主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管副局长批准，可延长10个工作日，并向申请人出具延长行政许可办理期限通知书，说明延长期限的理由。行政许可办理期限只能延长一次。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 w:rsidR="00F127E4" w:rsidRDefault="00F127E4" w:rsidP="00F127E4">
      <w:pPr>
        <w:spacing w:line="600" w:lineRule="exact"/>
        <w:ind w:firstLineChars="200" w:firstLine="560"/>
        <w:rPr>
          <w:rFonts w:ascii="Times New Roman" w:eastAsia="仿宋GB2312" w:hAnsi="Times New Roman"/>
          <w:sz w:val="32"/>
          <w:szCs w:val="32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各级外汇局对行政许可办理时限具有对外承诺的，应按照其承诺的时限完成；对外承诺的时限应短于20个工作日。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承诺审批时限：</w:t>
      </w:r>
      <w:r>
        <w:rPr>
          <w:rFonts w:ascii="方正仿宋_GBK" w:eastAsia="方正仿宋_GBK" w:hAnsi="方正仿宋_GBK" w:cs="方正仿宋_GBK"/>
          <w:sz w:val="28"/>
          <w:szCs w:val="28"/>
        </w:rPr>
        <w:t>20个工作日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九、收费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收费项目的名称、收费项目的标准、设定收费项目的依据、规定收费标准的依据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十、行政许可证件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审批结果类型：</w:t>
      </w:r>
      <w:r>
        <w:rPr>
          <w:rFonts w:ascii="方正仿宋_GBK" w:eastAsia="方正仿宋_GBK" w:hAnsi="方正仿宋_GBK" w:cs="方正仿宋_GBK"/>
          <w:sz w:val="28"/>
          <w:szCs w:val="28"/>
        </w:rPr>
        <w:t>批文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经常项目外汇业务核准件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审批结果的有效期限：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无期限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规定审批结果有效期限的依据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是否需要办理审批结果变更手续：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办理审批结果变更手续的要求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是否需要办理审批结果延续手续：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办理审批结果延续手续的要求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审批结果的有效地域范围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全国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规定审批结果有效地域范围的依据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lastRenderedPageBreak/>
        <w:t>十一、行政许可数量限制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有无行政许可数量限制：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在数量限制条件下实施行政许可的方式：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Pr="00C6499D" w:rsidRDefault="00F127E4" w:rsidP="00C6499D">
      <w:pPr>
        <w:spacing w:line="600" w:lineRule="exact"/>
        <w:ind w:firstLineChars="200" w:firstLine="562"/>
        <w:jc w:val="left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规定在数量限制条件下实施行政许可方式的依据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十二、行政许可后年检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有无年检要求：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设定年检要求的依据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年检是否要求报送材料：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年检报送材料名称：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Pr="00C6499D" w:rsidRDefault="00F127E4" w:rsidP="00C6499D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年检收费项目的名称、年检收费项目的标准、设定年检收费项目的依据、规定年检项目收费标准的依据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通过年检的证明或者标志：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十三、行政许可后年报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有无年报要求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年报报送材料名称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Pr="00C6499D" w:rsidRDefault="00F127E4" w:rsidP="00C6499D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设定年报要求的依据</w:t>
      </w:r>
      <w:r w:rsidR="00C6499D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年报周期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F127E4" w:rsidRDefault="00F127E4" w:rsidP="00F127E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十四、监管主体</w:t>
      </w:r>
    </w:p>
    <w:p w:rsidR="00F127E4" w:rsidRDefault="00F127E4" w:rsidP="00F127E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国家外汇局及其分局</w:t>
      </w:r>
    </w:p>
    <w:p w:rsidR="005167F8" w:rsidRPr="0096526C" w:rsidRDefault="00F127E4" w:rsidP="0096526C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十五、备注</w:t>
      </w:r>
    </w:p>
    <w:sectPr w:rsidR="005167F8" w:rsidRPr="0096526C" w:rsidSect="00201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1FE" w:rsidRDefault="00A501FE" w:rsidP="00F127E4">
      <w:r>
        <w:separator/>
      </w:r>
    </w:p>
  </w:endnote>
  <w:endnote w:type="continuationSeparator" w:id="1">
    <w:p w:rsidR="00A501FE" w:rsidRDefault="00A501FE" w:rsidP="00F12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仿宋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1FE" w:rsidRDefault="00A501FE" w:rsidP="00F127E4">
      <w:r>
        <w:separator/>
      </w:r>
    </w:p>
  </w:footnote>
  <w:footnote w:type="continuationSeparator" w:id="1">
    <w:p w:rsidR="00A501FE" w:rsidRDefault="00A501FE" w:rsidP="00F127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7E4"/>
    <w:rsid w:val="00020CDC"/>
    <w:rsid w:val="00047DDF"/>
    <w:rsid w:val="00196816"/>
    <w:rsid w:val="00201AD4"/>
    <w:rsid w:val="00406AA2"/>
    <w:rsid w:val="005167F8"/>
    <w:rsid w:val="00693AB7"/>
    <w:rsid w:val="009256AA"/>
    <w:rsid w:val="0096526C"/>
    <w:rsid w:val="00A501FE"/>
    <w:rsid w:val="00A71332"/>
    <w:rsid w:val="00C42ECA"/>
    <w:rsid w:val="00C6499D"/>
    <w:rsid w:val="00D94510"/>
    <w:rsid w:val="00DC078F"/>
    <w:rsid w:val="00DD6041"/>
    <w:rsid w:val="00EA1596"/>
    <w:rsid w:val="00F12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7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2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27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2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27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kylin</cp:lastModifiedBy>
  <cp:revision>15</cp:revision>
  <dcterms:created xsi:type="dcterms:W3CDTF">2023-12-08T08:39:00Z</dcterms:created>
  <dcterms:modified xsi:type="dcterms:W3CDTF">2023-12-08T08:42:00Z</dcterms:modified>
</cp:coreProperties>
</file>